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162 vom 28. Juni 2012</w:t>
      </w:r>
    </w:p>
    <w:p>
      <w:r>
        <w:t>BL Gerichte, 2012-06-28, DE</w:t>
      </w:r>
    </w:p>
    <w:p>
      <w:r>
        <w:rPr>
          <w:b/>
        </w:rPr>
        <w:t xml:space="preserve">Quelle: </w:t>
      </w:r>
      <w:r>
        <w:t>https://mcp.opencaselaw.ch/entscheid/bl_gerichte_810 2014 162</w:t>
      </w:r>
    </w:p>
    <w:p>
      <w:r>
        <w:t>FR: BL_GERICHTE 810 2014 162 du 28 juin 2012</w:t>
      </w:r>
    </w:p>
    <w:p>
      <w:r>
        <w:t>IT: BL_GERICHTE 810 2014 162 del 28 giugno 2012</w:t>
      </w:r>
    </w:p>
    <w:p>
      <w:pPr>
        <w:pStyle w:val="Heading2"/>
      </w:pPr>
      <w:r>
        <w:t>Regeste</w:t>
      </w:r>
    </w:p>
    <w:p>
      <w:r>
        <w:t>Nach- und Strafsteuer zur Staats- und Gemeindesteuer (inkl. Kirchen- und Fürsorgesteuer) 1999 und 2000 (Entscheid der Abteilung Steuergericht vom 28. Februar 2014)</w:t>
      </w:r>
    </w:p>
    <w:p>
      <w:pPr>
        <w:pStyle w:val="Heading2"/>
      </w:pPr>
      <w:r>
        <w:t>Erwägungen</w:t>
      </w:r>
    </w:p>
    <w:p>
      <w:r>
        <w:rPr>
          <w:b/>
        </w:rPr>
        <w:t>E. 1</w:t>
      </w:r>
    </w:p>
    <w:p>
      <w:r>
        <w:t>Gemäss § 131 Abs. 1 des Gesetzes über die Staats- und Gemeindesteuern (StG) vom 7. Februar 1974 können Entscheide des Steuergerichts mit Verwaltungsgerichtsbeschwerde beim Kantonsgericht als letzte kantonale Instanz angefochten werden. Mit der Beschwerde in Steuersachen können gemäss § 45 Abs. 2 des Gesetzes über die Verfassungs- und Verwaltungsprozessordnung (VPO) vom 16. Dezember 1993 alle Mängel des angefochtenen Entscheids und des vorangegangenen Verfahrens gerügt werden. Die formellen Voraussetzungen nach §§ 43 ff. VPO sind erfüllt, sodass auf die Beschwerde einzutreten ist. 2.1 Vorweg ist über die an der heutigen Parteiverhandlung erneut gestellten Beweis- und Verfahrensanträge der Beschwerdeführerin zu befinden. 2.2. Mit Präsidialverfügung vom 19. September 2014 wurden die Beweisanträge, wonach die vorgenannten Zeugen einzuvernehmen seien, abgewiesen. Vorliegend sind keine Gründe ersichtlich, welche ein Abweichen von der damaligen Verfügung rechtfertigen würden, zumal von der Beschwerdeführerin in keiner Weise vorgebracht wird, inwiefern die angerufenen Zeugen zur Aufklärung des Sachverhalts zusätzlich beitragen könnten. Aus dem Strafverfahren befinden sich die Einvernahmeprotokolle der Zeugen in den vorliegenden Verfahrensakten und das Gericht kann somit grundsätzlich darauf abstellen und diese Aussagen in die Beurteilung einbeziehen. Die Beweisanträge der Beschwerdeführerin, wonach Herr E. , Frau F. und Herr G. als Zeugen einzuvernehmen seien, werden abgewiesen. 2.3 Mit Präsidialverfügung vom 30. Juli 2014 wurden die Verfahrensanträge der Beschwerdeführerin auf Sistierung des Nachsteuer- und Strafsteuerverfahrens sowie auf Trennung der beiden Verfahren abgewiesen. Auf die dagegen erhobene Beschwerde ist das Bundesgericht mit Urteil vom 23. September 2014 nicht eingetreten und hat dabei dargelegt, dass nicht erkennbar sei, inwiefern die Verweigerung der nachgesuchten Sistierung und Trennung der Verfahren einen nicht wieder gutzumachenden Nachteil für die Beschwerdeführerin beinhalte. Auch aufgrund der heute eingereichten Anklageschrift der Staatsanwaltschaft Basel-Landschaft ändert sich nichts an der Tatsache, dass die Beschwerdeführerin nicht darlegt, inwiefern Informationen, welche sie im Nachsteuerverfahren entlasten würden, im Steuerstrafverfahren für sie nachteilig sein könnten. Zudem hat sie sich im vorliegenden Verfahren in ihrer Beschwerdebegründung bereits ausführlich zur Sache geäussert. Diese Rechtsschriften samt Beilagen sowie die Verfahrensakten sind dem Gericht bereits bekannt. Schliesslich ist festzustellen, dass an der heutigen – von der Beschwerdeführerin beantragten – Parteiverhandlung lediglich der Rechtsvertreter der Beschwerdeführerin anwesend ist, weshalb die Beschwerdeführerin selber keine weiteren Fragen beantworten bzw. keine Auskunft erteilen muss, welche sie belasten könnte. Es liegen somit keine Gründe vor, welche eine Sistierung oder Trennung der Verfahren insbesondere gegen den Willen der Beschwerdegegner, rechtfertigen würden (vgl. Präsidialverfügung vom 30. Juli 2014 E. 2). Die Verfahrensanträge der Beschwerdeführerin, es seien das Nachsteuer- und Strafsteuerverfahren bis zum rechtskräftigen Abschluss des Strafverfahrens gegen D. und B. zu sistieren; sodann sei das Nachsteuerverfahren vom Strafsteuerverfahren zu trennen, werden abgewiesen.</w:t>
      </w:r>
    </w:p>
    <w:p>
      <w:r>
        <w:rPr>
          <w:b/>
        </w:rPr>
        <w:t>E. 3</w:t>
      </w:r>
    </w:p>
    <w:p>
      <w:r>
        <w:t>Die Angelegenheit wird zur Neuverlegung der Kosten des vorinstanzlichen Verfahrens an das Steuer- und Enteignungsgericht des Kantons Basel-Landschaft, Abteilung Steuergericht, zurückgewiesen.</w:t>
      </w:r>
    </w:p>
    <w:p>
      <w:r>
        <w:rPr>
          <w:b/>
        </w:rPr>
        <w:t>E. 4</w:t>
      </w:r>
    </w:p>
    <w:p>
      <w:r>
        <w:t>Der Beschwerdeführerin wird ein Verfahrenskostenanteil in der Höhe von Fr. 1‘500.-- auferlegt und mit dem geleisteten Kostenvorschuss in der Höhe von Fr. 1‘400.-- verrechnet. Demzufolge hat die Beschwerdeführerin restliche Verfahrenskosten in der Höhe von Fr. 100.-- zu bezahlen 5. Die Steuerverwaltung des Kantons Basel-Landschaft hat der Beschwerdeführerin eine reduzierte Parteientschädigung in der Höhe von Fr. 1'000.-- (inkl. Auslagen und 8% MWSt) zu bezahlen.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